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E3DC3" w:rsidRPr="00E417C7" w:rsidRDefault="00D752E2" w:rsidP="002E3DC3">
      <w:pPr>
        <w:tabs>
          <w:tab w:val="left" w:pos="3374"/>
        </w:tabs>
        <w:spacing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2E3DC3" w:rsidRPr="002E3DC3">
        <w:rPr>
          <w:rFonts w:ascii="Arial" w:hAnsi="Arial" w:cs="Arial"/>
          <w:sz w:val="24"/>
          <w:szCs w:val="24"/>
        </w:rPr>
        <w:t>Aldineia</w:t>
      </w:r>
      <w:proofErr w:type="spellEnd"/>
      <w:r w:rsidR="002E3DC3" w:rsidRPr="002E3DC3">
        <w:rPr>
          <w:rFonts w:ascii="Arial" w:hAnsi="Arial" w:cs="Arial"/>
          <w:sz w:val="24"/>
          <w:szCs w:val="24"/>
        </w:rPr>
        <w:t xml:space="preserve"> Rodrigues dos Santos </w:t>
      </w:r>
      <w:proofErr w:type="spellStart"/>
      <w:r w:rsidR="002E3DC3" w:rsidRPr="002E3DC3">
        <w:rPr>
          <w:rFonts w:ascii="Arial" w:hAnsi="Arial" w:cs="Arial"/>
          <w:sz w:val="24"/>
          <w:szCs w:val="24"/>
        </w:rPr>
        <w:t>Kadowaki</w:t>
      </w:r>
      <w:proofErr w:type="spellEnd"/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2E3DC3" w:rsidRDefault="00D752E2" w:rsidP="002E3DC3">
      <w:pPr>
        <w:tabs>
          <w:tab w:val="left" w:pos="337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2E3DC3" w:rsidRPr="002E3DC3">
        <w:rPr>
          <w:rFonts w:ascii="Arial" w:hAnsi="Arial" w:cs="Arial"/>
          <w:sz w:val="24"/>
          <w:szCs w:val="24"/>
        </w:rPr>
        <w:t xml:space="preserve">Um olhar para o passado: análise das gravuras rupestres do </w:t>
      </w:r>
      <w:r w:rsidR="00C93FEB" w:rsidRPr="002E3DC3">
        <w:rPr>
          <w:rFonts w:ascii="Arial" w:hAnsi="Arial" w:cs="Arial"/>
          <w:sz w:val="24"/>
          <w:szCs w:val="24"/>
        </w:rPr>
        <w:t>Sítio</w:t>
      </w:r>
      <w:r w:rsidR="002E3DC3" w:rsidRPr="002E3D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C93FEB" w:rsidRPr="002E3DC3">
        <w:rPr>
          <w:rFonts w:ascii="Arial" w:hAnsi="Arial" w:cs="Arial"/>
          <w:sz w:val="24"/>
          <w:szCs w:val="24"/>
        </w:rPr>
        <w:t xml:space="preserve">CPRM2 </w:t>
      </w:r>
      <w:bookmarkEnd w:id="0"/>
      <w:r w:rsidR="002E3DC3" w:rsidRPr="002E3DC3">
        <w:rPr>
          <w:rFonts w:ascii="Arial" w:hAnsi="Arial" w:cs="Arial"/>
          <w:sz w:val="24"/>
          <w:szCs w:val="24"/>
        </w:rPr>
        <w:t>em Porto Velho / RO.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Dra. Juliana </w:t>
      </w:r>
      <w:proofErr w:type="spellStart"/>
      <w:r>
        <w:rPr>
          <w:rFonts w:ascii="Arial" w:hAnsi="Arial" w:cs="Arial"/>
          <w:bCs/>
          <w:sz w:val="24"/>
          <w:szCs w:val="24"/>
        </w:rPr>
        <w:t>Rossato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(orientadora)</w:t>
      </w:r>
    </w:p>
    <w:p w:rsidR="004869A2" w:rsidRDefault="002E3DC3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Dra. Silvana </w:t>
      </w:r>
      <w:proofErr w:type="spellStart"/>
      <w:r>
        <w:rPr>
          <w:rFonts w:ascii="Arial" w:hAnsi="Arial" w:cs="Arial"/>
          <w:bCs/>
          <w:sz w:val="24"/>
          <w:szCs w:val="24"/>
        </w:rPr>
        <w:t>Zuse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752E2">
        <w:rPr>
          <w:rFonts w:ascii="Arial" w:hAnsi="Arial" w:cs="Arial"/>
          <w:bCs/>
          <w:sz w:val="24"/>
          <w:szCs w:val="24"/>
        </w:rPr>
        <w:t>(membro titular)</w:t>
      </w:r>
    </w:p>
    <w:p w:rsidR="004869A2" w:rsidRDefault="002E3DC3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Ma. Laura </w:t>
      </w:r>
      <w:proofErr w:type="spellStart"/>
      <w:r>
        <w:rPr>
          <w:rFonts w:ascii="Arial" w:hAnsi="Arial" w:cs="Arial"/>
          <w:bCs/>
          <w:sz w:val="24"/>
          <w:szCs w:val="24"/>
        </w:rPr>
        <w:t>Nisinga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Cabral</w:t>
      </w:r>
      <w:r w:rsidR="00D752E2"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2E3DC3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Ma. Elisangela Regina de Oliveira </w:t>
      </w:r>
      <w:r w:rsidR="00D752E2">
        <w:rPr>
          <w:rFonts w:ascii="Arial" w:hAnsi="Arial" w:cs="Arial"/>
          <w:bCs/>
          <w:sz w:val="24"/>
          <w:szCs w:val="24"/>
        </w:rPr>
        <w:t xml:space="preserve">(membro suplente) 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Data da defesa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77241B">
        <w:rPr>
          <w:rFonts w:ascii="Arial" w:hAnsi="Arial" w:cs="Arial"/>
          <w:bCs/>
          <w:sz w:val="24"/>
          <w:szCs w:val="24"/>
        </w:rPr>
        <w:t>23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77241B">
        <w:rPr>
          <w:rFonts w:ascii="Arial" w:hAnsi="Arial" w:cs="Arial"/>
          <w:bCs/>
          <w:sz w:val="24"/>
          <w:szCs w:val="24"/>
        </w:rPr>
        <w:t>maio</w:t>
      </w:r>
      <w:r>
        <w:rPr>
          <w:rFonts w:ascii="Arial" w:hAnsi="Arial" w:cs="Arial"/>
          <w:bCs/>
          <w:sz w:val="24"/>
          <w:szCs w:val="24"/>
        </w:rPr>
        <w:t xml:space="preserve"> de 201</w:t>
      </w:r>
      <w:r w:rsidR="00141823">
        <w:rPr>
          <w:rFonts w:ascii="Arial" w:hAnsi="Arial" w:cs="Arial"/>
          <w:bCs/>
          <w:sz w:val="24"/>
          <w:szCs w:val="24"/>
        </w:rPr>
        <w:t>9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Horário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6B089E">
        <w:rPr>
          <w:rFonts w:ascii="Arial" w:hAnsi="Arial" w:cs="Arial"/>
          <w:bCs/>
          <w:sz w:val="24"/>
          <w:szCs w:val="24"/>
        </w:rPr>
        <w:t>10:00</w:t>
      </w:r>
      <w:r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DE" w:rsidRDefault="004D5ADE">
      <w:pPr>
        <w:spacing w:after="0" w:line="240" w:lineRule="auto"/>
      </w:pPr>
      <w:r>
        <w:separator/>
      </w:r>
    </w:p>
  </w:endnote>
  <w:endnote w:type="continuationSeparator" w:id="0">
    <w:p w:rsidR="004D5ADE" w:rsidRDefault="004D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D5ADE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4D5ADE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4D5ADE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DE" w:rsidRDefault="004D5ADE">
      <w:pPr>
        <w:spacing w:after="0" w:line="240" w:lineRule="auto"/>
      </w:pPr>
      <w:r>
        <w:separator/>
      </w:r>
    </w:p>
  </w:footnote>
  <w:footnote w:type="continuationSeparator" w:id="0">
    <w:p w:rsidR="004D5ADE" w:rsidRDefault="004D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A2"/>
    <w:rsid w:val="000500FC"/>
    <w:rsid w:val="00141823"/>
    <w:rsid w:val="001D53F3"/>
    <w:rsid w:val="002E3DC3"/>
    <w:rsid w:val="004869A2"/>
    <w:rsid w:val="004C1C6B"/>
    <w:rsid w:val="004D5ADE"/>
    <w:rsid w:val="006B089E"/>
    <w:rsid w:val="0077241B"/>
    <w:rsid w:val="007E5B96"/>
    <w:rsid w:val="008B57DC"/>
    <w:rsid w:val="009C0D32"/>
    <w:rsid w:val="00C93FEB"/>
    <w:rsid w:val="00D752E2"/>
    <w:rsid w:val="00E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0ADA-42CD-457C-957D-4BF5990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DARQ</cp:lastModifiedBy>
  <cp:revision>5</cp:revision>
  <cp:lastPrinted>2016-04-15T19:29:00Z</cp:lastPrinted>
  <dcterms:created xsi:type="dcterms:W3CDTF">2019-04-30T15:09:00Z</dcterms:created>
  <dcterms:modified xsi:type="dcterms:W3CDTF">2019-04-30T15:26:00Z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